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3508"/>
      </w:tblGrid>
      <w:tr w:rsidR="00766C93" w:rsidTr="00766C93">
        <w:tc>
          <w:tcPr>
            <w:tcW w:w="36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6C93" w:rsidRDefault="00766C93">
            <w:pPr>
              <w:ind w:left="-108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766C93" w:rsidRDefault="007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РАЙОНЫ</w:t>
            </w:r>
          </w:p>
          <w:p w:rsidR="00766C93" w:rsidRDefault="007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766C93" w:rsidRDefault="007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УРМИЯЗ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>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766C93" w:rsidRDefault="00766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СОВЕТЫ</w:t>
            </w:r>
          </w:p>
          <w:p w:rsidR="00766C93" w:rsidRDefault="00766C93">
            <w:pPr>
              <w:widowControl w:val="0"/>
              <w:autoSpaceDE w:val="0"/>
              <w:autoSpaceDN w:val="0"/>
              <w:adjustRightInd w:val="0"/>
              <w:rPr>
                <w:rFonts w:ascii="a_Helver Bashkir" w:hAnsi="a_Helver Bashkir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6C93" w:rsidRDefault="00766C93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a_Helver Bashkir" w:hAnsi="a_Helver Bashkir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6C93" w:rsidRDefault="00766C93">
            <w:pPr>
              <w:tabs>
                <w:tab w:val="left" w:pos="1026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</w:t>
            </w:r>
          </w:p>
          <w:p w:rsidR="00766C93" w:rsidRDefault="00766C9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СЕЛЬСКОГО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  <w:p w:rsidR="00766C93" w:rsidRDefault="00766C9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УРМИЯЗОВСКИЙ СЕЛЬСОВЕТ</w:t>
            </w:r>
          </w:p>
          <w:p w:rsidR="00766C93" w:rsidRDefault="00766C9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766C93" w:rsidRDefault="00766C93">
            <w:pPr>
              <w:keepNext/>
              <w:jc w:val="center"/>
              <w:outlineLvl w:val="1"/>
              <w:rPr>
                <w:rFonts w:ascii="a_Helver Bashkir" w:hAnsi="a_Helver Bashkir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b/>
                <w:bCs/>
                <w:sz w:val="20"/>
                <w:szCs w:val="20"/>
              </w:rPr>
              <w:t>СКИЙ РАЙОН</w:t>
            </w:r>
          </w:p>
          <w:p w:rsidR="00766C93" w:rsidRDefault="00766C93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766C93" w:rsidRDefault="00766C93">
            <w:pPr>
              <w:rPr>
                <w:rFonts w:ascii="a_Helver Bashkir" w:hAnsi="a_Helver Bashkir"/>
                <w:b/>
                <w:sz w:val="16"/>
                <w:szCs w:val="16"/>
              </w:rPr>
            </w:pPr>
          </w:p>
          <w:p w:rsidR="00766C93" w:rsidRDefault="00766C93">
            <w:pPr>
              <w:rPr>
                <w:rFonts w:ascii="a_Helver Bashkir" w:hAnsi="a_Helver Bashkir"/>
                <w:b/>
                <w:sz w:val="16"/>
                <w:szCs w:val="16"/>
              </w:rPr>
            </w:pPr>
          </w:p>
        </w:tc>
      </w:tr>
    </w:tbl>
    <w:p w:rsidR="00E71459" w:rsidRDefault="00E71459" w:rsidP="00E71459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4D5" w:rsidRPr="002D131F" w:rsidRDefault="009549B5" w:rsidP="002D6882">
      <w:pPr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E71459">
        <w:rPr>
          <w:sz w:val="28"/>
          <w:szCs w:val="28"/>
        </w:rPr>
        <w:t xml:space="preserve">» </w:t>
      </w:r>
      <w:r w:rsidR="00757256">
        <w:rPr>
          <w:sz w:val="28"/>
          <w:szCs w:val="28"/>
        </w:rPr>
        <w:t>августа 2020</w:t>
      </w:r>
      <w:r w:rsidR="00E71459">
        <w:rPr>
          <w:sz w:val="28"/>
          <w:szCs w:val="28"/>
        </w:rPr>
        <w:t xml:space="preserve"> года </w:t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</w:r>
      <w:r w:rsidR="00E71459">
        <w:rPr>
          <w:sz w:val="28"/>
          <w:szCs w:val="28"/>
        </w:rPr>
        <w:tab/>
        <w:t xml:space="preserve"> </w:t>
      </w:r>
      <w:r w:rsidR="00E71459">
        <w:rPr>
          <w:sz w:val="28"/>
          <w:szCs w:val="28"/>
        </w:rPr>
        <w:tab/>
        <w:t xml:space="preserve">           </w:t>
      </w:r>
      <w:r w:rsidR="000C1B27">
        <w:rPr>
          <w:sz w:val="28"/>
          <w:szCs w:val="28"/>
        </w:rPr>
        <w:t xml:space="preserve">                  </w:t>
      </w:r>
      <w:r w:rsidR="00E71459">
        <w:rPr>
          <w:sz w:val="28"/>
          <w:szCs w:val="28"/>
        </w:rPr>
        <w:t>№</w:t>
      </w:r>
      <w:r w:rsidR="00757256">
        <w:rPr>
          <w:sz w:val="28"/>
          <w:szCs w:val="28"/>
        </w:rPr>
        <w:t>42</w:t>
      </w: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8E53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8E53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2D131F" w:rsidRDefault="007B74D5" w:rsidP="008E5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6" w:history="1">
        <w:r w:rsidRPr="008E53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E71459" w:rsidRPr="00E71459" w:rsidRDefault="00E71459" w:rsidP="008E5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решение </w:t>
      </w:r>
      <w:r w:rsidR="002D6882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D6882">
        <w:rPr>
          <w:rFonts w:ascii="Times New Roman" w:hAnsi="Times New Roman" w:cs="Times New Roman"/>
          <w:sz w:val="28"/>
          <w:szCs w:val="28"/>
        </w:rPr>
        <w:t>сельского поселения Урмиязовский сельсовет</w:t>
      </w:r>
      <w:r w:rsidR="002D6882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2D6882" w:rsidRPr="007F3963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</w:t>
      </w:r>
      <w:r w:rsidR="002D688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6882" w:rsidRPr="008C1B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2D6882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2D6882" w:rsidRPr="008C1B5F">
        <w:rPr>
          <w:rFonts w:ascii="Times New Roman" w:hAnsi="Times New Roman" w:cs="Times New Roman"/>
          <w:sz w:val="28"/>
          <w:szCs w:val="28"/>
        </w:rPr>
        <w:t>район, с</w:t>
      </w:r>
      <w:r w:rsidR="002D6882">
        <w:rPr>
          <w:rFonts w:ascii="Times New Roman" w:hAnsi="Times New Roman" w:cs="Times New Roman"/>
          <w:sz w:val="28"/>
          <w:szCs w:val="28"/>
        </w:rPr>
        <w:t>.</w:t>
      </w:r>
      <w:r w:rsidR="008E5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882">
        <w:rPr>
          <w:rFonts w:ascii="Times New Roman" w:hAnsi="Times New Roman" w:cs="Times New Roman"/>
          <w:sz w:val="28"/>
          <w:szCs w:val="28"/>
        </w:rPr>
        <w:t>Урмиязы</w:t>
      </w:r>
      <w:proofErr w:type="spellEnd"/>
      <w:r w:rsidR="002D6882" w:rsidRPr="008C1B5F">
        <w:rPr>
          <w:rFonts w:ascii="Times New Roman" w:hAnsi="Times New Roman" w:cs="Times New Roman"/>
          <w:sz w:val="28"/>
          <w:szCs w:val="28"/>
        </w:rPr>
        <w:t>, ул.</w:t>
      </w:r>
      <w:r w:rsidR="008E5332">
        <w:rPr>
          <w:rFonts w:ascii="Times New Roman" w:hAnsi="Times New Roman" w:cs="Times New Roman"/>
          <w:sz w:val="28"/>
          <w:szCs w:val="28"/>
        </w:rPr>
        <w:t xml:space="preserve"> </w:t>
      </w:r>
      <w:r w:rsidR="002D6882">
        <w:rPr>
          <w:rFonts w:ascii="Times New Roman" w:hAnsi="Times New Roman" w:cs="Times New Roman"/>
          <w:sz w:val="28"/>
          <w:szCs w:val="28"/>
        </w:rPr>
        <w:t>Ленина, д.18</w:t>
      </w:r>
      <w:r w:rsidRPr="00E71459">
        <w:rPr>
          <w:rFonts w:ascii="Times New Roman" w:hAnsi="Times New Roman" w:cs="Times New Roman"/>
          <w:sz w:val="28"/>
          <w:szCs w:val="28"/>
        </w:rPr>
        <w:t>.</w:t>
      </w:r>
    </w:p>
    <w:p w:rsidR="002D6882" w:rsidRPr="002D6882" w:rsidRDefault="00E71459" w:rsidP="008E53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459">
        <w:rPr>
          <w:sz w:val="28"/>
          <w:szCs w:val="28"/>
        </w:rPr>
        <w:t>3.Нас</w:t>
      </w:r>
      <w:r>
        <w:rPr>
          <w:sz w:val="28"/>
          <w:szCs w:val="28"/>
        </w:rPr>
        <w:t>тоящее решение вступает в силу</w:t>
      </w:r>
      <w:r w:rsidR="002D6882" w:rsidRPr="002D6882">
        <w:rPr>
          <w:rFonts w:eastAsiaTheme="minorHAnsi"/>
          <w:sz w:val="28"/>
          <w:szCs w:val="28"/>
          <w:lang w:eastAsia="en-US"/>
        </w:rPr>
        <w:t xml:space="preserve"> со дня его официального обнародования.</w:t>
      </w: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35" w:rsidRDefault="00FD2535" w:rsidP="00FD2535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2535" w:rsidRDefault="00FD2535" w:rsidP="00FD253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Урмиязовский сельсовет</w:t>
      </w:r>
    </w:p>
    <w:p w:rsidR="00FD2535" w:rsidRDefault="00FD2535" w:rsidP="00FD253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FD2535" w:rsidRDefault="00FD2535" w:rsidP="00FD253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051EE" w:rsidRDefault="00FD2535" w:rsidP="00FD253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И.У.Иргалин</w:t>
      </w:r>
    </w:p>
    <w:p w:rsidR="002D6882" w:rsidRPr="002D131F" w:rsidRDefault="002D6882" w:rsidP="00FD25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5332" w:rsidRDefault="008E5332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E5332" w:rsidRDefault="008E5332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E5332" w:rsidRDefault="008E5332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E5332" w:rsidRDefault="008E5332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549B5" w:rsidRDefault="009549B5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2C02C6" w:rsidRDefault="00E71459" w:rsidP="002C02C6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Pr="004C5063">
        <w:rPr>
          <w:bCs/>
          <w:sz w:val="28"/>
          <w:szCs w:val="28"/>
        </w:rPr>
        <w:t xml:space="preserve"> </w:t>
      </w:r>
      <w:r w:rsidR="002C02C6">
        <w:rPr>
          <w:rFonts w:ascii="Times New Roman" w:hAnsi="Times New Roman" w:cs="Times New Roman"/>
          <w:sz w:val="28"/>
          <w:szCs w:val="28"/>
        </w:rPr>
        <w:t>Совета</w:t>
      </w:r>
    </w:p>
    <w:p w:rsidR="002C02C6" w:rsidRDefault="002C02C6" w:rsidP="002C02C6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02C6" w:rsidRDefault="002C02C6" w:rsidP="002C02C6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Урмиязовский сельсовет</w:t>
      </w:r>
    </w:p>
    <w:p w:rsidR="002C02C6" w:rsidRDefault="002C02C6" w:rsidP="002C02C6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02C6" w:rsidRDefault="002C02C6" w:rsidP="002C02C6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сельсовет</w:t>
      </w:r>
    </w:p>
    <w:p w:rsidR="00E71459" w:rsidRPr="004C5063" w:rsidRDefault="002C02C6" w:rsidP="002C02C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71459" w:rsidRPr="004C5063" w:rsidRDefault="009549B5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12</w:t>
      </w:r>
      <w:bookmarkStart w:id="0" w:name="_GoBack"/>
      <w:bookmarkEnd w:id="0"/>
      <w:r w:rsidR="000C1B27">
        <w:rPr>
          <w:bCs/>
          <w:sz w:val="28"/>
          <w:szCs w:val="28"/>
        </w:rPr>
        <w:t xml:space="preserve"> августа 2020 № 42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0C1B2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0C1B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0C1B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1B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1B27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B74D5" w:rsidRPr="002D131F" w:rsidRDefault="007B74D5" w:rsidP="000C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 w:rsidP="000C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 w:rsidP="000C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C1B2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6" w:history="1">
        <w:r w:rsidRPr="000C1B27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 w:rsidP="000C1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0C1B27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lastRenderedPageBreak/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0C1B27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 w:rsidRPr="000C1B2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C1B27" w:rsidRPr="000C1B27">
        <w:rPr>
          <w:rFonts w:ascii="Times New Roman" w:hAnsi="Times New Roman" w:cs="Times New Roman"/>
          <w:sz w:val="28"/>
          <w:szCs w:val="28"/>
        </w:rPr>
        <w:t>образовании и</w:t>
      </w:r>
      <w:r w:rsidRPr="000C1B27">
        <w:rPr>
          <w:rFonts w:ascii="Times New Roman" w:hAnsi="Times New Roman" w:cs="Times New Roman"/>
          <w:sz w:val="28"/>
          <w:szCs w:val="28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0C1B27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0C1B2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0C1B2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>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>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0C1B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C1B27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0C1B2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0C1B27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>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>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C1B27">
        <w:rPr>
          <w:rFonts w:ascii="Times New Roman" w:hAnsi="Times New Roman" w:cs="Times New Roman"/>
          <w:sz w:val="28"/>
          <w:szCs w:val="28"/>
        </w:rPr>
        <w:t>.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0C1B2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0C1B27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0C1B27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0C1B27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0C1B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C1B27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>.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0C1B2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0C1B27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C1B27">
        <w:rPr>
          <w:rFonts w:ascii="Times New Roman" w:hAnsi="Times New Roman" w:cs="Times New Roman"/>
          <w:sz w:val="28"/>
          <w:szCs w:val="28"/>
        </w:rPr>
        <w:t>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C1B27">
        <w:rPr>
          <w:rFonts w:ascii="Times New Roman" w:hAnsi="Times New Roman" w:cs="Times New Roman"/>
          <w:sz w:val="28"/>
          <w:szCs w:val="28"/>
        </w:rPr>
        <w:t>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</w:t>
      </w:r>
      <w:r w:rsidRPr="000C1B2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самоуправления, осуществляющих свою деятельность на территории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>, - сведения, указанные на официальном бланке соответствующего инициатора</w:t>
      </w:r>
      <w:r w:rsidRPr="000C1B27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0C1B2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0C1B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0C1B27">
          <w:rPr>
            <w:rFonts w:ascii="Times New Roman" w:hAnsi="Times New Roman" w:cs="Times New Roman"/>
            <w:sz w:val="28"/>
            <w:szCs w:val="28"/>
          </w:rPr>
          <w:t>п.</w:t>
        </w:r>
        <w:r w:rsidRPr="000C1B2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0C1B27">
          <w:rPr>
            <w:rFonts w:ascii="Times New Roman" w:hAnsi="Times New Roman" w:cs="Times New Roman"/>
            <w:sz w:val="28"/>
            <w:szCs w:val="28"/>
          </w:rPr>
          <w:t>4.3.2</w:t>
        </w:r>
      </w:hyperlink>
      <w:r w:rsidRPr="000C1B2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0C1B27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0C1B2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1B27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0C1B27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27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0C1B2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1B27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0C1B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1B27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о присвоении наименования элементу планировочной структуры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 w:rsidP="000C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7572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1B27"/>
    <w:rsid w:val="000C22AD"/>
    <w:rsid w:val="002C02C6"/>
    <w:rsid w:val="002C3FF2"/>
    <w:rsid w:val="002D131F"/>
    <w:rsid w:val="002D6882"/>
    <w:rsid w:val="00353A97"/>
    <w:rsid w:val="00360FA6"/>
    <w:rsid w:val="0039230F"/>
    <w:rsid w:val="004077E9"/>
    <w:rsid w:val="005401B0"/>
    <w:rsid w:val="00616740"/>
    <w:rsid w:val="006A5FDA"/>
    <w:rsid w:val="00712A1C"/>
    <w:rsid w:val="00757256"/>
    <w:rsid w:val="00766C93"/>
    <w:rsid w:val="007B74D5"/>
    <w:rsid w:val="00827CBD"/>
    <w:rsid w:val="0083460C"/>
    <w:rsid w:val="008E5332"/>
    <w:rsid w:val="009549B5"/>
    <w:rsid w:val="00BE6ADA"/>
    <w:rsid w:val="00C10D85"/>
    <w:rsid w:val="00C360D1"/>
    <w:rsid w:val="00CB6A58"/>
    <w:rsid w:val="00CF4401"/>
    <w:rsid w:val="00D051EE"/>
    <w:rsid w:val="00E71459"/>
    <w:rsid w:val="00E9771E"/>
    <w:rsid w:val="00F36CA9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F59B-B145-4BFB-A15F-1141DC33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02C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17</cp:revision>
  <cp:lastPrinted>2020-09-02T11:07:00Z</cp:lastPrinted>
  <dcterms:created xsi:type="dcterms:W3CDTF">2020-07-21T06:39:00Z</dcterms:created>
  <dcterms:modified xsi:type="dcterms:W3CDTF">2020-09-02T11:09:00Z</dcterms:modified>
</cp:coreProperties>
</file>